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4A1127">
        <w:rPr>
          <w:rFonts w:ascii="Arial" w:hAnsi="Arial" w:cs="Arial"/>
          <w:sz w:val="20"/>
          <w:szCs w:val="22"/>
        </w:rPr>
        <w:t>2</w:t>
      </w:r>
      <w:r w:rsidRPr="00754403">
        <w:rPr>
          <w:rFonts w:ascii="Arial" w:hAnsi="Arial" w:cs="Arial"/>
          <w:sz w:val="20"/>
          <w:szCs w:val="22"/>
        </w:rPr>
        <w:t xml:space="preserve"> </w:t>
      </w:r>
      <w:r w:rsidRPr="006E2DDD">
        <w:rPr>
          <w:rFonts w:ascii="Arial" w:hAnsi="Arial" w:cs="Arial"/>
          <w:sz w:val="20"/>
          <w:szCs w:val="22"/>
        </w:rPr>
        <w:t>к протоколу</w:t>
      </w:r>
    </w:p>
    <w:p w:rsidR="00754403" w:rsidRDefault="00551C83" w:rsidP="00754403">
      <w:pPr>
        <w:ind w:left="5400" w:firstLine="5400"/>
        <w:rPr>
          <w:rFonts w:ascii="Arial" w:hAnsi="Arial" w:cs="Arial"/>
          <w:sz w:val="20"/>
          <w:szCs w:val="22"/>
        </w:rPr>
      </w:pPr>
      <w:proofErr w:type="spellStart"/>
      <w:r>
        <w:rPr>
          <w:rFonts w:ascii="Arial" w:hAnsi="Arial" w:cs="Arial"/>
          <w:sz w:val="20"/>
          <w:szCs w:val="22"/>
        </w:rPr>
        <w:t>НТКМетр</w:t>
      </w:r>
      <w:proofErr w:type="spellEnd"/>
      <w:r w:rsidR="00754403" w:rsidRPr="006E2DDD">
        <w:rPr>
          <w:rFonts w:ascii="Arial" w:hAnsi="Arial" w:cs="Arial"/>
          <w:sz w:val="20"/>
          <w:szCs w:val="22"/>
        </w:rPr>
        <w:t xml:space="preserve"> № 4</w:t>
      </w:r>
      <w:r w:rsidR="004A1127">
        <w:rPr>
          <w:rFonts w:ascii="Arial" w:hAnsi="Arial" w:cs="Arial"/>
          <w:sz w:val="20"/>
          <w:szCs w:val="22"/>
        </w:rPr>
        <w:t>5</w:t>
      </w:r>
      <w:r w:rsidR="00754403" w:rsidRPr="006E2DDD">
        <w:rPr>
          <w:rFonts w:ascii="Arial" w:hAnsi="Arial" w:cs="Arial"/>
          <w:sz w:val="20"/>
          <w:szCs w:val="22"/>
        </w:rPr>
        <w:t>-201</w:t>
      </w:r>
      <w:r w:rsidR="004A1127">
        <w:rPr>
          <w:rFonts w:ascii="Arial" w:hAnsi="Arial" w:cs="Arial"/>
          <w:sz w:val="20"/>
          <w:szCs w:val="22"/>
        </w:rPr>
        <w:t>7</w:t>
      </w:r>
    </w:p>
    <w:p w:rsidR="00551C83" w:rsidRPr="006E2DDD" w:rsidRDefault="00551C83" w:rsidP="00754403">
      <w:pPr>
        <w:ind w:left="5400" w:firstLine="5400"/>
        <w:rPr>
          <w:rFonts w:ascii="Arial" w:hAnsi="Arial" w:cs="Arial"/>
          <w:sz w:val="20"/>
          <w:szCs w:val="22"/>
        </w:rPr>
      </w:pPr>
    </w:p>
    <w:p w:rsidR="00551C83" w:rsidRDefault="00551C83" w:rsidP="00E86CB4">
      <w:pPr>
        <w:ind w:right="43" w:firstLine="426"/>
        <w:jc w:val="center"/>
        <w:rPr>
          <w:rFonts w:ascii="Arial" w:hAnsi="Arial" w:cs="Arial"/>
          <w:b/>
        </w:rPr>
      </w:pPr>
      <w:r>
        <w:rPr>
          <w:rFonts w:ascii="Arial" w:hAnsi="Arial" w:cs="Arial"/>
          <w:b/>
        </w:rPr>
        <w:t>ИНФОРМАЦИЯ О ХОДЕ РЕАЛИЗАЦИИ МЕРОПРИЯТИЙ В ОБЛАСТИ МЕТРОЛОГИИ</w:t>
      </w:r>
    </w:p>
    <w:p w:rsidR="00E86CB4" w:rsidRPr="00A16984" w:rsidRDefault="00E86CB4" w:rsidP="00E86CB4">
      <w:pPr>
        <w:ind w:right="43" w:firstLine="426"/>
        <w:jc w:val="center"/>
        <w:rPr>
          <w:rFonts w:ascii="Arial" w:hAnsi="Arial" w:cs="Arial"/>
          <w:b/>
          <w:szCs w:val="28"/>
        </w:rPr>
      </w:pPr>
      <w:r w:rsidRPr="00A16984">
        <w:rPr>
          <w:rFonts w:ascii="Arial" w:hAnsi="Arial" w:cs="Arial"/>
          <w:b/>
        </w:rPr>
        <w:t>ПЛАН</w:t>
      </w:r>
      <w:r w:rsidR="00551C83">
        <w:rPr>
          <w:rFonts w:ascii="Arial" w:hAnsi="Arial" w:cs="Arial"/>
          <w:b/>
        </w:rPr>
        <w:t>А</w:t>
      </w:r>
      <w:r>
        <w:rPr>
          <w:rFonts w:ascii="Arial" w:hAnsi="Arial" w:cs="Arial"/>
          <w:b/>
        </w:rPr>
        <w:t xml:space="preserve"> </w:t>
      </w:r>
      <w:r w:rsidRPr="00A16984">
        <w:rPr>
          <w:rFonts w:ascii="Arial" w:hAnsi="Arial" w:cs="Arial"/>
          <w:b/>
        </w:rPr>
        <w:t>ДЕЙСТВИЙ МГС</w:t>
      </w:r>
      <w:r w:rsidR="00032D3B">
        <w:rPr>
          <w:rFonts w:ascii="Arial" w:hAnsi="Arial" w:cs="Arial"/>
          <w:b/>
        </w:rPr>
        <w:t xml:space="preserve"> </w:t>
      </w: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551C83" w:rsidRPr="00A16984" w:rsidRDefault="00551C83"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100"/>
        <w:gridCol w:w="1559"/>
        <w:gridCol w:w="1809"/>
        <w:gridCol w:w="34"/>
        <w:gridCol w:w="5766"/>
        <w:gridCol w:w="46"/>
      </w:tblGrid>
      <w:tr w:rsidR="00E86CB4" w:rsidRPr="00A16984" w:rsidTr="00032D3B">
        <w:trPr>
          <w:tblHeader/>
        </w:trPr>
        <w:tc>
          <w:tcPr>
            <w:tcW w:w="852"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п/п</w:t>
            </w:r>
          </w:p>
        </w:tc>
        <w:tc>
          <w:tcPr>
            <w:tcW w:w="510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55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809"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D84548" w:rsidRPr="00A16984" w:rsidTr="00D84548">
        <w:tblPrEx>
          <w:tblLook w:val="0000" w:firstRow="0" w:lastRow="0" w:firstColumn="0" w:lastColumn="0" w:noHBand="0" w:noVBand="0"/>
        </w:tblPrEx>
        <w:trPr>
          <w:cantSplit/>
          <w:trHeight w:val="342"/>
        </w:trPr>
        <w:tc>
          <w:tcPr>
            <w:tcW w:w="15166" w:type="dxa"/>
            <w:gridSpan w:val="7"/>
          </w:tcPr>
          <w:p w:rsidR="00D84548" w:rsidRPr="00A16984" w:rsidRDefault="00D84548" w:rsidP="00FA19B4">
            <w:pPr>
              <w:pStyle w:val="31"/>
              <w:ind w:left="5072" w:hanging="5072"/>
              <w:jc w:val="center"/>
              <w:rPr>
                <w:rFonts w:ascii="Arial" w:hAnsi="Arial" w:cs="Arial"/>
                <w:szCs w:val="24"/>
              </w:rPr>
            </w:pPr>
            <w:r w:rsidRPr="00A16984">
              <w:rPr>
                <w:rFonts w:ascii="Arial" w:hAnsi="Arial" w:cs="Arial"/>
                <w:b/>
                <w:szCs w:val="24"/>
              </w:rPr>
              <w:t>3. Обеспечение единства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3.1.</w:t>
            </w:r>
          </w:p>
        </w:tc>
        <w:tc>
          <w:tcPr>
            <w:tcW w:w="5100" w:type="dxa"/>
          </w:tcPr>
          <w:p w:rsidR="00D84548" w:rsidRPr="0085285C" w:rsidRDefault="00D84548"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559" w:type="dxa"/>
          </w:tcPr>
          <w:p w:rsidR="00D84548" w:rsidRPr="0085285C" w:rsidRDefault="00D84548"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809" w:type="dxa"/>
          </w:tcPr>
          <w:p w:rsidR="00D84548" w:rsidRPr="0085285C" w:rsidRDefault="00D84548"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Организовано выполнение Плана мероприятий по реализации Соглашения</w:t>
            </w:r>
            <w:r w:rsidR="00101989">
              <w:rPr>
                <w:rFonts w:ascii="Arial" w:hAnsi="Arial" w:cs="Arial"/>
                <w:sz w:val="20"/>
              </w:rPr>
              <w:t>, принятого на 48-м заседании МГС</w:t>
            </w:r>
          </w:p>
        </w:tc>
      </w:tr>
      <w:tr w:rsidR="00D84548" w:rsidRPr="00A16984" w:rsidTr="00F95349">
        <w:tblPrEx>
          <w:tblLook w:val="0000" w:firstRow="0" w:lastRow="0" w:firstColumn="0" w:lastColumn="0" w:noHBand="0" w:noVBand="0"/>
        </w:tblPrEx>
        <w:trPr>
          <w:trHeight w:val="489"/>
        </w:trPr>
        <w:tc>
          <w:tcPr>
            <w:tcW w:w="852" w:type="dxa"/>
          </w:tcPr>
          <w:p w:rsidR="00D84548" w:rsidRDefault="00D84548" w:rsidP="009C4653">
            <w:pPr>
              <w:ind w:right="-108"/>
              <w:rPr>
                <w:rFonts w:ascii="Arial" w:hAnsi="Arial" w:cs="Arial"/>
                <w:sz w:val="20"/>
              </w:rPr>
            </w:pPr>
            <w:r>
              <w:rPr>
                <w:rFonts w:ascii="Arial" w:hAnsi="Arial" w:cs="Arial"/>
                <w:sz w:val="20"/>
              </w:rPr>
              <w:t>3.2.</w:t>
            </w:r>
          </w:p>
        </w:tc>
        <w:tc>
          <w:tcPr>
            <w:tcW w:w="5100" w:type="dxa"/>
            <w:vAlign w:val="center"/>
          </w:tcPr>
          <w:p w:rsidR="00D84548" w:rsidRPr="0052365A" w:rsidRDefault="00D84548" w:rsidP="00E52AF0">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559" w:type="dxa"/>
            <w:vAlign w:val="center"/>
          </w:tcPr>
          <w:p w:rsidR="00D84548" w:rsidRPr="0052365A" w:rsidRDefault="00D84548" w:rsidP="00E52AF0">
            <w:pPr>
              <w:ind w:right="43"/>
              <w:jc w:val="center"/>
              <w:rPr>
                <w:rFonts w:ascii="Arial" w:hAnsi="Arial" w:cs="Arial"/>
                <w:sz w:val="20"/>
              </w:rPr>
            </w:pPr>
            <w:r w:rsidRPr="0052365A">
              <w:rPr>
                <w:rFonts w:ascii="Arial" w:hAnsi="Arial" w:cs="Arial"/>
                <w:sz w:val="20"/>
              </w:rPr>
              <w:t>2016-2020</w:t>
            </w:r>
          </w:p>
        </w:tc>
        <w:tc>
          <w:tcPr>
            <w:tcW w:w="1809" w:type="dxa"/>
          </w:tcPr>
          <w:p w:rsidR="00D84548" w:rsidRPr="0052365A" w:rsidRDefault="00D84548" w:rsidP="00E52AF0">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Включено в План мероприятий по реализации Соглашения</w:t>
            </w:r>
            <w:r w:rsidR="00101989" w:rsidRPr="0085285C">
              <w:rPr>
                <w:rFonts w:ascii="Arial" w:hAnsi="Arial" w:cs="Arial"/>
                <w:sz w:val="20"/>
              </w:rPr>
              <w:t xml:space="preserve"> о взаимном признании результатов испытаний с целью утверждения типа, метрологической аттестации, поверки калибровки средств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3.3.</w:t>
            </w:r>
          </w:p>
        </w:tc>
        <w:tc>
          <w:tcPr>
            <w:tcW w:w="5100" w:type="dxa"/>
          </w:tcPr>
          <w:p w:rsidR="00D84548" w:rsidRPr="0085285C" w:rsidRDefault="00D84548"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559" w:type="dxa"/>
          </w:tcPr>
          <w:p w:rsidR="00D84548" w:rsidRPr="0085285C" w:rsidRDefault="00D84548"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809" w:type="dxa"/>
          </w:tcPr>
          <w:p w:rsidR="00D84548" w:rsidRPr="0085285C" w:rsidRDefault="00D84548"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shd w:val="clear" w:color="auto" w:fill="auto"/>
          </w:tcPr>
          <w:p w:rsidR="00D84548" w:rsidRPr="00101989" w:rsidRDefault="00101989" w:rsidP="00101989">
            <w:pPr>
              <w:ind w:right="43"/>
              <w:rPr>
                <w:rFonts w:ascii="Arial" w:hAnsi="Arial" w:cs="Arial"/>
                <w:sz w:val="20"/>
              </w:rPr>
            </w:pPr>
            <w:r w:rsidRPr="00101989">
              <w:rPr>
                <w:rFonts w:ascii="Arial" w:hAnsi="Arial" w:cs="Arial"/>
                <w:sz w:val="20"/>
              </w:rPr>
              <w:t xml:space="preserve">Реализуется в рамках Программы разработки и пересмотра основополагающих нормативных документов ГСИ </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100" w:type="dxa"/>
          </w:tcPr>
          <w:p w:rsidR="00D84548" w:rsidRPr="00D7096C" w:rsidRDefault="00D84548"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559" w:type="dxa"/>
            <w:vAlign w:val="center"/>
          </w:tcPr>
          <w:p w:rsidR="00D84548" w:rsidRPr="00D7096C" w:rsidRDefault="00D84548" w:rsidP="005914F5">
            <w:pPr>
              <w:ind w:right="43"/>
              <w:jc w:val="center"/>
              <w:rPr>
                <w:rFonts w:ascii="Arial" w:hAnsi="Arial" w:cs="Arial"/>
                <w:sz w:val="20"/>
                <w:lang w:val="en-US"/>
              </w:rPr>
            </w:pPr>
            <w:r w:rsidRPr="00D7096C">
              <w:rPr>
                <w:rFonts w:ascii="Arial" w:hAnsi="Arial" w:cs="Arial"/>
                <w:sz w:val="20"/>
              </w:rPr>
              <w:t xml:space="preserve">2016-2020 </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809" w:type="dxa"/>
          </w:tcPr>
          <w:p w:rsidR="00D84548" w:rsidRPr="00D7096C" w:rsidRDefault="00D84548"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shd w:val="clear" w:color="auto" w:fill="auto"/>
          </w:tcPr>
          <w:p w:rsidR="00D84548" w:rsidRPr="00551C83" w:rsidRDefault="00101989" w:rsidP="00101989">
            <w:pPr>
              <w:ind w:right="43"/>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 xml:space="preserve">Обеспечение </w:t>
            </w:r>
            <w:proofErr w:type="spellStart"/>
            <w:r w:rsidRPr="00D7096C">
              <w:rPr>
                <w:rFonts w:ascii="Arial" w:hAnsi="Arial" w:cs="Arial"/>
                <w:sz w:val="20"/>
              </w:rPr>
              <w:t>прослеживаемости</w:t>
            </w:r>
            <w:proofErr w:type="spellEnd"/>
            <w:r w:rsidRPr="00D7096C">
              <w:rPr>
                <w:rFonts w:ascii="Arial" w:hAnsi="Arial" w:cs="Arial"/>
                <w:sz w:val="20"/>
              </w:rPr>
              <w:t xml:space="preserve"> измерений и участия в сличениях на региональном и международном уровне</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КООМЕТ и МБМВ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color w:val="000000"/>
                <w:sz w:val="20"/>
              </w:rPr>
            </w:pPr>
            <w:r>
              <w:rPr>
                <w:rFonts w:ascii="Arial" w:hAnsi="Arial" w:cs="Arial"/>
                <w:color w:val="000000"/>
                <w:sz w:val="20"/>
              </w:rPr>
              <w:t>Реализуется в рамках МГС и КООМЕТ</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sz w:val="20"/>
              </w:rPr>
            </w:pPr>
            <w:r>
              <w:rPr>
                <w:rFonts w:ascii="Arial" w:hAnsi="Arial" w:cs="Arial"/>
                <w:sz w:val="20"/>
              </w:rPr>
              <w:t>Реализуется</w:t>
            </w:r>
            <w:r w:rsidR="00586CBC">
              <w:rPr>
                <w:rFonts w:ascii="Arial" w:hAnsi="Arial" w:cs="Arial"/>
                <w:sz w:val="20"/>
              </w:rPr>
              <w:t xml:space="preserve"> в рамках </w:t>
            </w:r>
            <w:proofErr w:type="spellStart"/>
            <w:r w:rsidR="00586CBC">
              <w:rPr>
                <w:rFonts w:ascii="Arial" w:hAnsi="Arial" w:cs="Arial"/>
                <w:sz w:val="20"/>
              </w:rPr>
              <w:t>НТКМетр</w:t>
            </w:r>
            <w:proofErr w:type="spellEnd"/>
            <w:r w:rsidR="00586CBC">
              <w:rPr>
                <w:rFonts w:ascii="Arial" w:hAnsi="Arial" w:cs="Arial"/>
                <w:sz w:val="20"/>
              </w:rPr>
              <w:t xml:space="preserve"> и РГ ТМ </w:t>
            </w:r>
            <w:proofErr w:type="spellStart"/>
            <w:r w:rsidR="00586CBC">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trHeight w:val="487"/>
        </w:trPr>
        <w:tc>
          <w:tcPr>
            <w:tcW w:w="852" w:type="dxa"/>
          </w:tcPr>
          <w:p w:rsidR="00101989" w:rsidRPr="00A16984" w:rsidRDefault="00101989" w:rsidP="00752D79">
            <w:pPr>
              <w:ind w:right="-108"/>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559" w:type="dxa"/>
            <w:vAlign w:val="center"/>
          </w:tcPr>
          <w:p w:rsidR="00101989" w:rsidRPr="0052365A" w:rsidRDefault="00101989" w:rsidP="005914F5">
            <w:pPr>
              <w:ind w:right="43"/>
              <w:jc w:val="center"/>
              <w:rPr>
                <w:rFonts w:ascii="Arial" w:hAnsi="Arial" w:cs="Arial"/>
                <w:sz w:val="20"/>
              </w:rPr>
            </w:pPr>
            <w:r w:rsidRPr="0052365A">
              <w:rPr>
                <w:rFonts w:ascii="Arial" w:hAnsi="Arial" w:cs="Arial"/>
                <w:bCs/>
                <w:sz w:val="20"/>
              </w:rPr>
              <w:t>2016-2020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Pr="00551C83" w:rsidRDefault="00101989" w:rsidP="002E0D1A">
            <w:pPr>
              <w:ind w:right="43"/>
              <w:rPr>
                <w:rFonts w:ascii="Arial" w:hAnsi="Arial" w:cs="Arial"/>
                <w:sz w:val="20"/>
              </w:rPr>
            </w:pPr>
            <w:r>
              <w:rPr>
                <w:rFonts w:ascii="Arial" w:hAnsi="Arial" w:cs="Arial"/>
                <w:sz w:val="20"/>
              </w:rPr>
              <w:t>Реализуется</w:t>
            </w:r>
            <w:r w:rsidR="00637CFE">
              <w:rPr>
                <w:rFonts w:ascii="Arial" w:hAnsi="Arial" w:cs="Arial"/>
                <w:sz w:val="20"/>
              </w:rPr>
              <w:t xml:space="preserve"> 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ТМ </w:t>
            </w:r>
            <w:proofErr w:type="spellStart"/>
            <w:r w:rsidR="00637CFE">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cantSplit/>
          <w:trHeight w:val="2220"/>
        </w:trPr>
        <w:tc>
          <w:tcPr>
            <w:tcW w:w="852" w:type="dxa"/>
          </w:tcPr>
          <w:p w:rsidR="00101989" w:rsidRPr="00A16984" w:rsidRDefault="00101989" w:rsidP="00752D79">
            <w:pPr>
              <w:pStyle w:val="a6"/>
              <w:jc w:val="center"/>
              <w:rPr>
                <w:rFonts w:ascii="Arial" w:hAnsi="Arial" w:cs="Arial"/>
                <w:sz w:val="20"/>
              </w:rPr>
            </w:pPr>
            <w:r w:rsidRPr="00A16984">
              <w:rPr>
                <w:rFonts w:ascii="Arial" w:hAnsi="Arial" w:cs="Arial"/>
                <w:sz w:val="20"/>
              </w:rPr>
              <w:lastRenderedPageBreak/>
              <w:t>3.</w:t>
            </w:r>
            <w:r>
              <w:rPr>
                <w:rFonts w:ascii="Arial" w:hAnsi="Arial" w:cs="Arial"/>
                <w:sz w:val="20"/>
              </w:rPr>
              <w:t>8.</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59" w:type="dxa"/>
            <w:vAlign w:val="center"/>
          </w:tcPr>
          <w:p w:rsidR="00101989" w:rsidRPr="0052365A" w:rsidRDefault="00101989" w:rsidP="005914F5">
            <w:pPr>
              <w:ind w:right="43"/>
              <w:jc w:val="center"/>
              <w:rPr>
                <w:rFonts w:ascii="Arial" w:hAnsi="Arial" w:cs="Arial"/>
                <w:sz w:val="20"/>
              </w:rPr>
            </w:pPr>
            <w:r w:rsidRPr="0052365A">
              <w:rPr>
                <w:rFonts w:ascii="Arial" w:hAnsi="Arial" w:cs="Arial"/>
                <w:sz w:val="20"/>
              </w:rPr>
              <w:t>2016-</w:t>
            </w:r>
            <w:r>
              <w:rPr>
                <w:rFonts w:ascii="Arial" w:hAnsi="Arial" w:cs="Arial"/>
                <w:sz w:val="20"/>
                <w:lang w:val="en-US"/>
              </w:rPr>
              <w:t xml:space="preserve"> </w:t>
            </w:r>
            <w:r w:rsidRPr="0052365A">
              <w:rPr>
                <w:rFonts w:ascii="Arial" w:hAnsi="Arial" w:cs="Arial"/>
                <w:sz w:val="20"/>
              </w:rPr>
              <w:t>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Pr="00551C83" w:rsidRDefault="00E06D1F" w:rsidP="00551C83">
            <w:pPr>
              <w:rPr>
                <w:rFonts w:ascii="Arial" w:hAnsi="Arial" w:cs="Arial"/>
                <w:sz w:val="20"/>
              </w:rPr>
            </w:pPr>
            <w:r>
              <w:rPr>
                <w:rFonts w:ascii="Arial" w:hAnsi="Arial" w:cs="Arial"/>
                <w:sz w:val="20"/>
              </w:rPr>
              <w:t>Реализуется</w:t>
            </w:r>
            <w:r w:rsidR="00637CFE">
              <w:rPr>
                <w:rFonts w:ascii="Arial" w:hAnsi="Arial" w:cs="Arial"/>
                <w:sz w:val="20"/>
              </w:rPr>
              <w:t xml:space="preserve"> 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ТМ </w:t>
            </w:r>
            <w:proofErr w:type="spellStart"/>
            <w:r w:rsidR="00637CFE">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gridAfter w:val="1"/>
          <w:wAfter w:w="46" w:type="dxa"/>
          <w:cantSplit/>
          <w:trHeight w:val="342"/>
        </w:trPr>
        <w:tc>
          <w:tcPr>
            <w:tcW w:w="852" w:type="dxa"/>
          </w:tcPr>
          <w:p w:rsidR="00101989" w:rsidRPr="00A16984" w:rsidRDefault="00101989" w:rsidP="00752D79">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100" w:type="dxa"/>
            <w:vAlign w:val="center"/>
          </w:tcPr>
          <w:p w:rsidR="00101989" w:rsidRPr="00FA19B4" w:rsidRDefault="00101989" w:rsidP="003225C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59" w:type="dxa"/>
            <w:shd w:val="clear" w:color="auto" w:fill="auto"/>
            <w:vAlign w:val="center"/>
          </w:tcPr>
          <w:p w:rsidR="00101989" w:rsidRPr="00FA19B4" w:rsidRDefault="00101989" w:rsidP="003225C2">
            <w:pPr>
              <w:ind w:right="43"/>
              <w:jc w:val="center"/>
              <w:rPr>
                <w:rFonts w:ascii="Arial" w:hAnsi="Arial" w:cs="Arial"/>
                <w:sz w:val="20"/>
              </w:rPr>
            </w:pPr>
            <w:r w:rsidRPr="00FA19B4">
              <w:rPr>
                <w:rFonts w:ascii="Arial" w:hAnsi="Arial" w:cs="Arial"/>
                <w:sz w:val="20"/>
              </w:rPr>
              <w:t>2016-2020</w:t>
            </w:r>
          </w:p>
        </w:tc>
        <w:tc>
          <w:tcPr>
            <w:tcW w:w="1809" w:type="dxa"/>
          </w:tcPr>
          <w:p w:rsidR="00101989" w:rsidRPr="0052365A" w:rsidRDefault="00101989"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101989" w:rsidRPr="00551C83" w:rsidRDefault="00E06D1F" w:rsidP="00637CFE">
            <w:pPr>
              <w:ind w:right="-1" w:firstLine="31"/>
              <w:rPr>
                <w:rFonts w:ascii="Arial" w:hAnsi="Arial" w:cs="Arial"/>
                <w:sz w:val="20"/>
              </w:rPr>
            </w:pPr>
            <w:r>
              <w:rPr>
                <w:rFonts w:ascii="Arial" w:hAnsi="Arial" w:cs="Arial"/>
                <w:sz w:val="20"/>
              </w:rPr>
              <w:t>Реализуется</w:t>
            </w:r>
            <w:r w:rsidR="00637CFE">
              <w:rPr>
                <w:rFonts w:ascii="Arial" w:hAnsi="Arial" w:cs="Arial"/>
                <w:sz w:val="20"/>
              </w:rPr>
              <w:t xml:space="preserve"> </w:t>
            </w:r>
            <w:r w:rsidR="00586CBC">
              <w:rPr>
                <w:rFonts w:ascii="Arial" w:hAnsi="Arial" w:cs="Arial"/>
                <w:sz w:val="20"/>
              </w:rPr>
              <w:t xml:space="preserve">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СО </w:t>
            </w:r>
            <w:proofErr w:type="spellStart"/>
            <w:r w:rsidR="00637CFE">
              <w:rPr>
                <w:rFonts w:ascii="Arial" w:hAnsi="Arial" w:cs="Arial"/>
                <w:sz w:val="20"/>
              </w:rPr>
              <w:t>НТКМетр</w:t>
            </w:r>
            <w:proofErr w:type="spellEnd"/>
          </w:p>
        </w:tc>
      </w:tr>
      <w:tr w:rsidR="00E06D1F" w:rsidRPr="00A16984" w:rsidTr="00F95349">
        <w:tblPrEx>
          <w:tblLook w:val="0000" w:firstRow="0" w:lastRow="0" w:firstColumn="0" w:lastColumn="0" w:noHBand="0" w:noVBand="0"/>
        </w:tblPrEx>
        <w:trPr>
          <w:gridAfter w:val="1"/>
          <w:wAfter w:w="46" w:type="dxa"/>
          <w:cantSplit/>
          <w:trHeight w:val="350"/>
        </w:trPr>
        <w:tc>
          <w:tcPr>
            <w:tcW w:w="852" w:type="dxa"/>
          </w:tcPr>
          <w:p w:rsidR="00E06D1F" w:rsidRPr="00A16984" w:rsidRDefault="00E06D1F" w:rsidP="00752D79">
            <w:pPr>
              <w:pStyle w:val="a6"/>
              <w:ind w:hanging="148"/>
              <w:jc w:val="center"/>
              <w:rPr>
                <w:rFonts w:ascii="Arial" w:hAnsi="Arial" w:cs="Arial"/>
                <w:sz w:val="20"/>
              </w:rPr>
            </w:pPr>
            <w:r w:rsidRPr="00A16984">
              <w:rPr>
                <w:rFonts w:ascii="Arial" w:hAnsi="Arial" w:cs="Arial"/>
                <w:sz w:val="20"/>
              </w:rPr>
              <w:t>3.</w:t>
            </w:r>
            <w:r>
              <w:rPr>
                <w:rFonts w:ascii="Arial" w:hAnsi="Arial" w:cs="Arial"/>
                <w:sz w:val="20"/>
              </w:rPr>
              <w:t>10.</w:t>
            </w:r>
          </w:p>
        </w:tc>
        <w:tc>
          <w:tcPr>
            <w:tcW w:w="5100" w:type="dxa"/>
            <w:vAlign w:val="center"/>
          </w:tcPr>
          <w:p w:rsidR="00E06D1F" w:rsidRPr="00FA19B4" w:rsidRDefault="00E06D1F" w:rsidP="003225C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59" w:type="dxa"/>
            <w:vAlign w:val="center"/>
          </w:tcPr>
          <w:p w:rsidR="00E06D1F" w:rsidRPr="0052365A" w:rsidRDefault="00E06D1F" w:rsidP="003225C2">
            <w:pPr>
              <w:ind w:right="43"/>
              <w:jc w:val="center"/>
              <w:rPr>
                <w:rFonts w:ascii="Arial" w:hAnsi="Arial" w:cs="Arial"/>
                <w:sz w:val="20"/>
              </w:rPr>
            </w:pPr>
            <w:r w:rsidRPr="0052365A">
              <w:rPr>
                <w:rFonts w:ascii="Arial" w:hAnsi="Arial" w:cs="Arial"/>
                <w:sz w:val="20"/>
              </w:rPr>
              <w:t>2016-2018</w:t>
            </w:r>
          </w:p>
        </w:tc>
        <w:tc>
          <w:tcPr>
            <w:tcW w:w="1809" w:type="dxa"/>
          </w:tcPr>
          <w:p w:rsidR="00E06D1F" w:rsidRPr="0052365A" w:rsidRDefault="00E06D1F"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E06D1F" w:rsidRPr="00551C83" w:rsidRDefault="00E06D1F" w:rsidP="0063552E">
            <w:pPr>
              <w:ind w:right="-1" w:firstLine="31"/>
              <w:rPr>
                <w:rFonts w:ascii="Arial" w:hAnsi="Arial" w:cs="Arial"/>
                <w:sz w:val="20"/>
              </w:rPr>
            </w:pPr>
            <w:r>
              <w:rPr>
                <w:rFonts w:ascii="Arial" w:hAnsi="Arial" w:cs="Arial"/>
                <w:sz w:val="20"/>
              </w:rPr>
              <w:t>Реализуется</w:t>
            </w:r>
            <w:r w:rsidR="00586CBC">
              <w:rPr>
                <w:rFonts w:ascii="Arial" w:hAnsi="Arial" w:cs="Arial"/>
                <w:sz w:val="20"/>
              </w:rPr>
              <w:t xml:space="preserve"> в рамках </w:t>
            </w:r>
            <w:proofErr w:type="spellStart"/>
            <w:r w:rsidR="00586CBC">
              <w:rPr>
                <w:rFonts w:ascii="Arial" w:hAnsi="Arial" w:cs="Arial"/>
                <w:sz w:val="20"/>
              </w:rPr>
              <w:t>НТКМетр</w:t>
            </w:r>
            <w:proofErr w:type="spellEnd"/>
          </w:p>
        </w:tc>
      </w:tr>
      <w:tr w:rsidR="00637CFE" w:rsidRPr="00A16984" w:rsidTr="00F95349">
        <w:tblPrEx>
          <w:tblLook w:val="0000" w:firstRow="0" w:lastRow="0" w:firstColumn="0" w:lastColumn="0" w:noHBand="0" w:noVBand="0"/>
        </w:tblPrEx>
        <w:trPr>
          <w:gridAfter w:val="1"/>
          <w:wAfter w:w="46" w:type="dxa"/>
          <w:cantSplit/>
          <w:trHeight w:val="342"/>
        </w:trPr>
        <w:tc>
          <w:tcPr>
            <w:tcW w:w="852" w:type="dxa"/>
          </w:tcPr>
          <w:p w:rsidR="00637CFE" w:rsidRPr="00A16984" w:rsidRDefault="00637CFE" w:rsidP="00752D79">
            <w:pPr>
              <w:pStyle w:val="aa"/>
              <w:ind w:hanging="251"/>
              <w:rPr>
                <w:rFonts w:ascii="Arial" w:hAnsi="Arial" w:cs="Arial"/>
                <w:sz w:val="20"/>
              </w:rPr>
            </w:pPr>
            <w:r w:rsidRPr="00A16984">
              <w:rPr>
                <w:rFonts w:ascii="Arial" w:hAnsi="Arial" w:cs="Arial"/>
                <w:sz w:val="20"/>
              </w:rPr>
              <w:t>3.</w:t>
            </w:r>
            <w:r>
              <w:rPr>
                <w:rFonts w:ascii="Arial" w:hAnsi="Arial" w:cs="Arial"/>
                <w:sz w:val="20"/>
              </w:rPr>
              <w:t>11.</w:t>
            </w:r>
          </w:p>
        </w:tc>
        <w:tc>
          <w:tcPr>
            <w:tcW w:w="5100" w:type="dxa"/>
            <w:vAlign w:val="center"/>
          </w:tcPr>
          <w:p w:rsidR="00637CFE" w:rsidRPr="00FA19B4" w:rsidRDefault="00637CFE" w:rsidP="003225C2">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vAlign w:val="center"/>
          </w:tcPr>
          <w:p w:rsidR="00637CFE" w:rsidRPr="0052365A" w:rsidRDefault="00637CFE" w:rsidP="003225C2">
            <w:pPr>
              <w:ind w:right="43"/>
              <w:jc w:val="center"/>
              <w:rPr>
                <w:rFonts w:ascii="Arial" w:hAnsi="Arial" w:cs="Arial"/>
                <w:sz w:val="20"/>
              </w:rPr>
            </w:pPr>
            <w:r w:rsidRPr="0052365A">
              <w:rPr>
                <w:rFonts w:ascii="Arial" w:hAnsi="Arial" w:cs="Arial"/>
                <w:sz w:val="20"/>
              </w:rPr>
              <w:t>2016-2020</w:t>
            </w:r>
          </w:p>
        </w:tc>
        <w:tc>
          <w:tcPr>
            <w:tcW w:w="1809" w:type="dxa"/>
          </w:tcPr>
          <w:p w:rsidR="00637CFE" w:rsidRPr="0052365A" w:rsidRDefault="00637CFE"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7CFE" w:rsidRPr="00551C83" w:rsidRDefault="00637CFE" w:rsidP="005C5517">
            <w:pPr>
              <w:ind w:right="-1" w:firstLine="31"/>
              <w:rPr>
                <w:rFonts w:ascii="Arial" w:hAnsi="Arial" w:cs="Arial"/>
                <w:sz w:val="20"/>
              </w:rPr>
            </w:pPr>
            <w:r>
              <w:rPr>
                <w:rFonts w:ascii="Arial" w:hAnsi="Arial" w:cs="Arial"/>
                <w:sz w:val="20"/>
              </w:rPr>
              <w:t>Реализуется</w:t>
            </w:r>
            <w:r w:rsidR="00586CBC">
              <w:t xml:space="preserve"> </w:t>
            </w:r>
            <w:r w:rsidR="00586CBC" w:rsidRPr="00586CBC">
              <w:rPr>
                <w:rFonts w:ascii="Arial" w:hAnsi="Arial" w:cs="Arial"/>
                <w:sz w:val="20"/>
              </w:rPr>
              <w:t xml:space="preserve">в рамках </w:t>
            </w:r>
            <w:proofErr w:type="spellStart"/>
            <w:r w:rsidR="00586CBC" w:rsidRPr="00586CBC">
              <w:rPr>
                <w:rFonts w:ascii="Arial" w:hAnsi="Arial" w:cs="Arial"/>
                <w:sz w:val="20"/>
              </w:rPr>
              <w:t>НТКМетр</w:t>
            </w:r>
            <w:proofErr w:type="spellEnd"/>
          </w:p>
        </w:tc>
      </w:tr>
      <w:tr w:rsidR="00586CBC" w:rsidRPr="00A16984" w:rsidTr="00F95349">
        <w:tblPrEx>
          <w:tblLook w:val="0000" w:firstRow="0" w:lastRow="0" w:firstColumn="0" w:lastColumn="0" w:noHBand="0" w:noVBand="0"/>
        </w:tblPrEx>
        <w:trPr>
          <w:gridAfter w:val="1"/>
          <w:wAfter w:w="46" w:type="dxa"/>
          <w:cantSplit/>
          <w:trHeight w:val="342"/>
        </w:trPr>
        <w:tc>
          <w:tcPr>
            <w:tcW w:w="852" w:type="dxa"/>
          </w:tcPr>
          <w:p w:rsidR="00586CBC" w:rsidRPr="00A16984" w:rsidRDefault="00586CBC"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100" w:type="dxa"/>
            <w:vAlign w:val="center"/>
          </w:tcPr>
          <w:p w:rsidR="00586CBC" w:rsidRPr="00FA19B4" w:rsidRDefault="00586CBC" w:rsidP="003225C2">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vAlign w:val="center"/>
          </w:tcPr>
          <w:p w:rsidR="00586CBC" w:rsidRPr="0052365A" w:rsidRDefault="00586CBC" w:rsidP="003225C2">
            <w:pPr>
              <w:ind w:right="43"/>
              <w:jc w:val="center"/>
              <w:rPr>
                <w:rFonts w:ascii="Arial" w:hAnsi="Arial" w:cs="Arial"/>
                <w:sz w:val="20"/>
              </w:rPr>
            </w:pPr>
            <w:r w:rsidRPr="0052365A">
              <w:rPr>
                <w:rFonts w:ascii="Arial" w:hAnsi="Arial" w:cs="Arial"/>
                <w:sz w:val="20"/>
              </w:rPr>
              <w:t>2016-2018</w:t>
            </w:r>
          </w:p>
        </w:tc>
        <w:tc>
          <w:tcPr>
            <w:tcW w:w="1809" w:type="dxa"/>
          </w:tcPr>
          <w:p w:rsidR="00586CBC" w:rsidRPr="0052365A" w:rsidRDefault="00586CBC"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586CBC" w:rsidRPr="00551C83" w:rsidRDefault="00586CBC" w:rsidP="005C5517">
            <w:pPr>
              <w:ind w:right="-1" w:firstLine="31"/>
              <w:rPr>
                <w:rFonts w:ascii="Arial" w:hAnsi="Arial" w:cs="Arial"/>
                <w:sz w:val="20"/>
              </w:rPr>
            </w:pPr>
            <w:r>
              <w:rPr>
                <w:rFonts w:ascii="Arial" w:hAnsi="Arial" w:cs="Arial"/>
                <w:sz w:val="20"/>
              </w:rPr>
              <w:t xml:space="preserve">Реализуется в рамках </w:t>
            </w:r>
            <w:proofErr w:type="spellStart"/>
            <w:r>
              <w:rPr>
                <w:rFonts w:ascii="Arial" w:hAnsi="Arial" w:cs="Arial"/>
                <w:sz w:val="20"/>
              </w:rPr>
              <w:t>НТКМетр</w:t>
            </w:r>
            <w:proofErr w:type="spellEnd"/>
          </w:p>
        </w:tc>
      </w:tr>
      <w:tr w:rsidR="00586CBC" w:rsidRPr="00A16984" w:rsidTr="00F95349">
        <w:tblPrEx>
          <w:tblLook w:val="0000" w:firstRow="0" w:lastRow="0" w:firstColumn="0" w:lastColumn="0" w:noHBand="0" w:noVBand="0"/>
        </w:tblPrEx>
        <w:trPr>
          <w:gridAfter w:val="1"/>
          <w:wAfter w:w="46" w:type="dxa"/>
          <w:cantSplit/>
          <w:trHeight w:val="693"/>
        </w:trPr>
        <w:tc>
          <w:tcPr>
            <w:tcW w:w="852" w:type="dxa"/>
          </w:tcPr>
          <w:p w:rsidR="00586CBC" w:rsidRPr="00A16984" w:rsidRDefault="00586CBC"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100" w:type="dxa"/>
            <w:shd w:val="clear" w:color="auto" w:fill="auto"/>
          </w:tcPr>
          <w:p w:rsidR="00586CBC" w:rsidRPr="00752D79" w:rsidRDefault="00586CBC" w:rsidP="003225C2">
            <w:pPr>
              <w:tabs>
                <w:tab w:val="left" w:pos="6024"/>
              </w:tabs>
              <w:jc w:val="both"/>
              <w:rPr>
                <w:rFonts w:ascii="Arial" w:hAnsi="Arial" w:cs="Arial"/>
                <w:sz w:val="20"/>
              </w:rPr>
            </w:pPr>
            <w:r w:rsidRPr="00752D79">
              <w:rPr>
                <w:rFonts w:ascii="Arial" w:hAnsi="Arial" w:cs="Arial"/>
                <w:sz w:val="20"/>
              </w:rPr>
              <w:t>Разработка, применение и внедрение в науку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tcPr>
          <w:p w:rsidR="00586CBC" w:rsidRPr="00752D79" w:rsidRDefault="00586CBC" w:rsidP="003225C2">
            <w:pPr>
              <w:pStyle w:val="31"/>
              <w:ind w:firstLine="0"/>
              <w:jc w:val="center"/>
              <w:rPr>
                <w:rFonts w:ascii="Arial" w:hAnsi="Arial" w:cs="Arial"/>
                <w:sz w:val="20"/>
              </w:rPr>
            </w:pPr>
            <w:r w:rsidRPr="00752D79">
              <w:rPr>
                <w:rFonts w:ascii="Arial" w:hAnsi="Arial" w:cs="Arial"/>
                <w:sz w:val="20"/>
              </w:rPr>
              <w:t>2016-2020</w:t>
            </w:r>
          </w:p>
        </w:tc>
        <w:tc>
          <w:tcPr>
            <w:tcW w:w="1809" w:type="dxa"/>
          </w:tcPr>
          <w:p w:rsidR="00586CBC" w:rsidRPr="00752D79" w:rsidRDefault="00586CBC" w:rsidP="003225C2">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shd w:val="clear" w:color="auto" w:fill="auto"/>
          </w:tcPr>
          <w:p w:rsidR="00586CBC" w:rsidRPr="00551C83" w:rsidRDefault="00586CBC" w:rsidP="005C5517">
            <w:pPr>
              <w:ind w:right="-1" w:firstLine="31"/>
              <w:rPr>
                <w:rFonts w:ascii="Arial" w:hAnsi="Arial" w:cs="Arial"/>
                <w:sz w:val="20"/>
              </w:rPr>
            </w:pPr>
            <w:r>
              <w:rPr>
                <w:rFonts w:ascii="Arial" w:hAnsi="Arial" w:cs="Arial"/>
                <w:sz w:val="20"/>
              </w:rPr>
              <w:t xml:space="preserve">Реализуется в рамках </w:t>
            </w:r>
            <w:proofErr w:type="spellStart"/>
            <w:r>
              <w:rPr>
                <w:rFonts w:ascii="Arial" w:hAnsi="Arial" w:cs="Arial"/>
                <w:sz w:val="20"/>
              </w:rPr>
              <w:t>НТКМетр</w:t>
            </w:r>
            <w:proofErr w:type="spellEnd"/>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586CBC" w:rsidRPr="00A16984" w:rsidTr="00F95349">
        <w:tblPrEx>
          <w:tblLook w:val="0000" w:firstRow="0" w:lastRow="0" w:firstColumn="0" w:lastColumn="0" w:noHBand="0" w:noVBand="0"/>
        </w:tblPrEx>
        <w:trPr>
          <w:gridAfter w:val="1"/>
          <w:wAfter w:w="46" w:type="dxa"/>
          <w:cantSplit/>
          <w:trHeight w:val="1138"/>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5.9.</w:t>
            </w:r>
          </w:p>
        </w:tc>
        <w:tc>
          <w:tcPr>
            <w:tcW w:w="5100" w:type="dxa"/>
          </w:tcPr>
          <w:p w:rsidR="00586CBC" w:rsidRPr="007B3D06" w:rsidRDefault="00586CBC" w:rsidP="007B3D06">
            <w:pPr>
              <w:spacing w:line="240" w:lineRule="exact"/>
              <w:rPr>
                <w:rFonts w:ascii="Arial" w:hAnsi="Arial" w:cs="Arial"/>
                <w:sz w:val="20"/>
              </w:rPr>
            </w:pPr>
            <w:r w:rsidRPr="007B3D06">
              <w:rPr>
                <w:rFonts w:ascii="Arial" w:hAnsi="Arial" w:cs="Arial"/>
                <w:sz w:val="20"/>
              </w:rPr>
              <w:t>Организация и проведение межлабораторных сличительных испытаний (</w:t>
            </w:r>
            <w:proofErr w:type="spellStart"/>
            <w:r w:rsidRPr="007B3D06">
              <w:rPr>
                <w:rFonts w:ascii="Arial" w:hAnsi="Arial" w:cs="Arial"/>
                <w:sz w:val="20"/>
              </w:rPr>
              <w:t>профтестирование</w:t>
            </w:r>
            <w:proofErr w:type="spellEnd"/>
            <w:r w:rsidRPr="007B3D06">
              <w:rPr>
                <w:rFonts w:ascii="Arial" w:hAnsi="Arial" w:cs="Arial"/>
                <w:sz w:val="20"/>
              </w:rPr>
              <w:t xml:space="preserve">) для поддержки аккредитации лабораторий и органов контроля (инспекций), с решением вопросов признания провайдеров программ </w:t>
            </w:r>
            <w:proofErr w:type="spellStart"/>
            <w:r w:rsidRPr="007B3D06">
              <w:rPr>
                <w:rFonts w:ascii="Arial" w:hAnsi="Arial" w:cs="Arial"/>
                <w:sz w:val="20"/>
              </w:rPr>
              <w:t>профтестирования</w:t>
            </w:r>
            <w:proofErr w:type="spellEnd"/>
            <w:r w:rsidRPr="007B3D06">
              <w:rPr>
                <w:rFonts w:ascii="Arial" w:hAnsi="Arial" w:cs="Arial"/>
                <w:sz w:val="20"/>
              </w:rPr>
              <w:t xml:space="preserve"> </w:t>
            </w:r>
          </w:p>
        </w:tc>
        <w:tc>
          <w:tcPr>
            <w:tcW w:w="1559" w:type="dxa"/>
          </w:tcPr>
          <w:p w:rsidR="00586CBC" w:rsidRPr="007B3D06" w:rsidRDefault="00586CBC"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43" w:type="dxa"/>
            <w:gridSpan w:val="2"/>
          </w:tcPr>
          <w:p w:rsidR="00586CBC" w:rsidRPr="007B3D06" w:rsidRDefault="00586CBC"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shd w:val="clear" w:color="auto" w:fill="auto"/>
          </w:tcPr>
          <w:p w:rsidR="00586CBC" w:rsidRPr="00551C83" w:rsidRDefault="00586CBC" w:rsidP="00D51A5D">
            <w:pPr>
              <w:ind w:right="-1" w:firstLine="31"/>
              <w:rPr>
                <w:rFonts w:ascii="Arial" w:hAnsi="Arial" w:cs="Arial"/>
                <w:sz w:val="20"/>
              </w:rPr>
            </w:pPr>
            <w:r>
              <w:rPr>
                <w:rFonts w:ascii="Arial" w:hAnsi="Arial" w:cs="Arial"/>
                <w:sz w:val="20"/>
              </w:rPr>
              <w:t xml:space="preserve">Реализуется в рамках </w:t>
            </w:r>
            <w:proofErr w:type="spellStart"/>
            <w:r>
              <w:rPr>
                <w:rFonts w:ascii="Arial" w:hAnsi="Arial" w:cs="Arial"/>
                <w:sz w:val="20"/>
              </w:rPr>
              <w:t>НТКМетр</w:t>
            </w:r>
            <w:proofErr w:type="spellEnd"/>
            <w:r>
              <w:rPr>
                <w:rFonts w:ascii="Arial" w:hAnsi="Arial" w:cs="Arial"/>
                <w:sz w:val="20"/>
              </w:rPr>
              <w:t xml:space="preserve"> и РГ МСИ </w:t>
            </w:r>
            <w:proofErr w:type="spellStart"/>
            <w:r>
              <w:rPr>
                <w:rFonts w:ascii="Arial" w:hAnsi="Arial" w:cs="Arial"/>
                <w:sz w:val="20"/>
              </w:rPr>
              <w:t>НТКМетр</w:t>
            </w:r>
            <w:proofErr w:type="spellEnd"/>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3952"/>
              <w:jc w:val="left"/>
              <w:rPr>
                <w:rFonts w:ascii="Arial" w:hAnsi="Arial" w:cs="Arial"/>
                <w:szCs w:val="24"/>
              </w:rPr>
            </w:pPr>
            <w:r w:rsidRPr="00A16984">
              <w:rPr>
                <w:rFonts w:ascii="Arial" w:hAnsi="Arial" w:cs="Arial"/>
                <w:b/>
                <w:bCs/>
                <w:szCs w:val="24"/>
              </w:rPr>
              <w:lastRenderedPageBreak/>
              <w:t>Совершенствование системы информационного обеспечения</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6.1.</w:t>
            </w:r>
          </w:p>
        </w:tc>
        <w:tc>
          <w:tcPr>
            <w:tcW w:w="5100" w:type="dxa"/>
          </w:tcPr>
          <w:p w:rsidR="00586CBC" w:rsidRPr="00E83936" w:rsidRDefault="00586CBC"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59" w:type="dxa"/>
          </w:tcPr>
          <w:p w:rsidR="00586CBC" w:rsidRPr="00E83936" w:rsidRDefault="00586CBC"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43" w:type="dxa"/>
            <w:gridSpan w:val="2"/>
          </w:tcPr>
          <w:p w:rsidR="00586CBC" w:rsidRPr="00E83936" w:rsidRDefault="00586CBC"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100" w:type="dxa"/>
          </w:tcPr>
          <w:p w:rsidR="00586CBC" w:rsidRPr="008D413F" w:rsidRDefault="00586CBC"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2014-2016</w:t>
            </w:r>
          </w:p>
        </w:tc>
        <w:tc>
          <w:tcPr>
            <w:tcW w:w="1843" w:type="dxa"/>
            <w:gridSpan w:val="2"/>
          </w:tcPr>
          <w:p w:rsidR="00586CBC" w:rsidRPr="008D413F" w:rsidRDefault="00586CBC" w:rsidP="003567CE">
            <w:pPr>
              <w:rPr>
                <w:rFonts w:ascii="Arial" w:hAnsi="Arial" w:cs="Arial"/>
                <w:sz w:val="20"/>
              </w:rPr>
            </w:pPr>
            <w:proofErr w:type="spellStart"/>
            <w:r w:rsidRPr="008D413F">
              <w:rPr>
                <w:rFonts w:ascii="Arial" w:hAnsi="Arial" w:cs="Arial"/>
                <w:sz w:val="20"/>
              </w:rPr>
              <w:t>Росстандарт</w:t>
            </w:r>
            <w:proofErr w:type="spellEnd"/>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6.7.</w:t>
            </w:r>
          </w:p>
        </w:tc>
        <w:tc>
          <w:tcPr>
            <w:tcW w:w="5100" w:type="dxa"/>
          </w:tcPr>
          <w:p w:rsidR="00586CBC" w:rsidRPr="008D413F" w:rsidRDefault="00586CBC"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2016-2017</w:t>
            </w:r>
          </w:p>
        </w:tc>
        <w:tc>
          <w:tcPr>
            <w:tcW w:w="1843" w:type="dxa"/>
            <w:gridSpan w:val="2"/>
          </w:tcPr>
          <w:p w:rsidR="00586CBC" w:rsidRPr="008D413F" w:rsidRDefault="00586CBC" w:rsidP="003567CE">
            <w:pPr>
              <w:rPr>
                <w:rFonts w:ascii="Arial" w:hAnsi="Arial" w:cs="Arial"/>
                <w:sz w:val="20"/>
              </w:rPr>
            </w:pPr>
            <w:proofErr w:type="spellStart"/>
            <w:r w:rsidRPr="008D413F">
              <w:rPr>
                <w:rFonts w:ascii="Arial" w:hAnsi="Arial" w:cs="Arial"/>
                <w:sz w:val="20"/>
              </w:rPr>
              <w:t>Росстандарт</w:t>
            </w:r>
            <w:proofErr w:type="spellEnd"/>
          </w:p>
          <w:p w:rsidR="00586CBC" w:rsidRPr="008D413F" w:rsidRDefault="00586CBC" w:rsidP="003567CE">
            <w:pPr>
              <w:rPr>
                <w:rFonts w:ascii="Arial" w:hAnsi="Arial" w:cs="Arial"/>
                <w:sz w:val="20"/>
              </w:rPr>
            </w:pPr>
            <w:r w:rsidRPr="008D413F">
              <w:rPr>
                <w:rFonts w:ascii="Arial" w:hAnsi="Arial" w:cs="Arial"/>
                <w:sz w:val="20"/>
              </w:rPr>
              <w:t xml:space="preserve">Госстандарт </w:t>
            </w:r>
          </w:p>
          <w:p w:rsidR="00586CBC" w:rsidRPr="008D413F" w:rsidRDefault="00586CBC" w:rsidP="003567CE">
            <w:pPr>
              <w:rPr>
                <w:rFonts w:ascii="Arial" w:hAnsi="Arial" w:cs="Arial"/>
                <w:sz w:val="20"/>
              </w:rPr>
            </w:pPr>
            <w:r w:rsidRPr="008D413F">
              <w:rPr>
                <w:rFonts w:ascii="Arial" w:hAnsi="Arial" w:cs="Arial"/>
                <w:sz w:val="20"/>
              </w:rPr>
              <w:t>Республики Беларусь</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 xml:space="preserve">Госстандарт </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Республики Казахстан</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FF0000"/>
          </w:tcPr>
          <w:p w:rsidR="00586CBC" w:rsidRPr="00A16984" w:rsidRDefault="00586CBC" w:rsidP="005914F5">
            <w:pPr>
              <w:pStyle w:val="31"/>
              <w:ind w:firstLine="0"/>
              <w:rPr>
                <w:rFonts w:ascii="Arial" w:hAnsi="Arial" w:cs="Arial"/>
                <w:sz w:val="20"/>
              </w:rPr>
            </w:pPr>
          </w:p>
        </w:tc>
      </w:tr>
      <w:tr w:rsidR="00586CBC" w:rsidRPr="00A16984" w:rsidTr="00D84548">
        <w:tblPrEx>
          <w:tblLook w:val="0000" w:firstRow="0" w:lastRow="0" w:firstColumn="0" w:lastColumn="0" w:noHBand="0" w:noVBand="0"/>
        </w:tblPrEx>
        <w:trPr>
          <w:gridAfter w:val="1"/>
          <w:wAfter w:w="46" w:type="dxa"/>
          <w:cantSplit/>
          <w:trHeight w:val="547"/>
        </w:trPr>
        <w:tc>
          <w:tcPr>
            <w:tcW w:w="15120" w:type="dxa"/>
            <w:gridSpan w:val="6"/>
          </w:tcPr>
          <w:p w:rsidR="00586CBC" w:rsidRPr="00A16984" w:rsidRDefault="00586CBC"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8.1.</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w:t>
            </w:r>
            <w:proofErr w:type="spellStart"/>
            <w:r w:rsidRPr="00A16984">
              <w:rPr>
                <w:rFonts w:ascii="Arial" w:hAnsi="Arial" w:cs="Arial"/>
                <w:sz w:val="20"/>
              </w:rPr>
              <w:t>Алиментариус</w:t>
            </w:r>
            <w:proofErr w:type="spellEnd"/>
            <w:r w:rsidRPr="00A16984">
              <w:rPr>
                <w:rFonts w:ascii="Arial" w:hAnsi="Arial" w:cs="Arial"/>
                <w:sz w:val="20"/>
              </w:rPr>
              <w:t xml:space="preserve">»,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586CBC" w:rsidRPr="00A16984" w:rsidRDefault="00586CBC"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p w:rsidR="00586CBC" w:rsidRPr="00A16984" w:rsidRDefault="00586CBC" w:rsidP="005914F5">
            <w:pPr>
              <w:pStyle w:val="31"/>
              <w:ind w:firstLine="0"/>
              <w:jc w:val="left"/>
              <w:rPr>
                <w:rFonts w:ascii="Arial" w:hAnsi="Arial" w:cs="Arial"/>
                <w:sz w:val="20"/>
              </w:rPr>
            </w:pPr>
            <w:r w:rsidRPr="00A16984">
              <w:rPr>
                <w:rFonts w:ascii="Arial" w:hAnsi="Arial" w:cs="Arial"/>
                <w:sz w:val="20"/>
              </w:rPr>
              <w:t>Бюро по стандартам МГС</w:t>
            </w:r>
          </w:p>
          <w:p w:rsidR="00586CBC" w:rsidRPr="00A16984" w:rsidRDefault="00586CBC" w:rsidP="005914F5">
            <w:pPr>
              <w:pStyle w:val="31"/>
              <w:ind w:firstLine="0"/>
              <w:jc w:val="center"/>
              <w:rPr>
                <w:rFonts w:ascii="Arial" w:hAnsi="Arial" w:cs="Arial"/>
                <w:sz w:val="20"/>
              </w:rPr>
            </w:pPr>
          </w:p>
        </w:tc>
        <w:tc>
          <w:tcPr>
            <w:tcW w:w="5800" w:type="dxa"/>
            <w:gridSpan w:val="2"/>
            <w:shd w:val="clear" w:color="auto" w:fill="auto"/>
          </w:tcPr>
          <w:p w:rsidR="00586CBC" w:rsidRPr="00A16984" w:rsidRDefault="00F95349" w:rsidP="005914F5">
            <w:pPr>
              <w:pStyle w:val="31"/>
              <w:ind w:firstLine="0"/>
              <w:rPr>
                <w:rFonts w:ascii="Arial" w:hAnsi="Arial" w:cs="Arial"/>
                <w:sz w:val="20"/>
              </w:rPr>
            </w:pPr>
            <w:r>
              <w:rPr>
                <w:rFonts w:ascii="Arial" w:hAnsi="Arial" w:cs="Arial"/>
                <w:sz w:val="20"/>
              </w:rPr>
              <w:t>На 49-м заседании МГС одобрен Меморандум о сотрудничестве между МГС и АСТМ</w:t>
            </w:r>
          </w:p>
        </w:tc>
      </w:tr>
      <w:tr w:rsidR="00586CBC" w:rsidRPr="00A16984" w:rsidTr="007E53DE">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8.3.</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w:t>
            </w:r>
            <w:r w:rsidRPr="00A16984">
              <w:rPr>
                <w:rFonts w:ascii="Arial" w:hAnsi="Arial" w:cs="Arial"/>
                <w:sz w:val="20"/>
              </w:rPr>
              <w:lastRenderedPageBreak/>
              <w:t xml:space="preserve">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auto"/>
          </w:tcPr>
          <w:p w:rsidR="00586CBC" w:rsidRPr="00A16984" w:rsidRDefault="00586CBC" w:rsidP="005914F5">
            <w:pPr>
              <w:pStyle w:val="31"/>
              <w:ind w:firstLine="0"/>
              <w:rPr>
                <w:rFonts w:ascii="Arial" w:hAnsi="Arial" w:cs="Arial"/>
                <w:sz w:val="20"/>
              </w:rPr>
            </w:pPr>
            <w:bookmarkStart w:id="0" w:name="_GoBack"/>
            <w:bookmarkEnd w:id="0"/>
          </w:p>
        </w:tc>
      </w:tr>
    </w:tbl>
    <w:p w:rsidR="000A1538" w:rsidRDefault="000A1538"/>
    <w:sectPr w:rsidR="000A1538" w:rsidSect="005914F5">
      <w:footerReference w:type="even" r:id="rId7"/>
      <w:footerReference w:type="default" r:id="rId8"/>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910" w:rsidRDefault="00265910">
      <w:r>
        <w:separator/>
      </w:r>
    </w:p>
  </w:endnote>
  <w:endnote w:type="continuationSeparator" w:id="0">
    <w:p w:rsidR="00265910" w:rsidRDefault="00265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E53DE">
      <w:rPr>
        <w:rStyle w:val="a5"/>
        <w:noProof/>
      </w:rPr>
      <w:t>2</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910" w:rsidRDefault="00265910">
      <w:r>
        <w:separator/>
      </w:r>
    </w:p>
  </w:footnote>
  <w:footnote w:type="continuationSeparator" w:id="0">
    <w:p w:rsidR="00265910" w:rsidRDefault="002659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15:restartNumberingAfterBreak="0">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15:restartNumberingAfterBreak="0">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15:restartNumberingAfterBreak="0">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15:restartNumberingAfterBreak="0">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F27"/>
    <w:rsid w:val="00032D3B"/>
    <w:rsid w:val="00056DF1"/>
    <w:rsid w:val="000A1538"/>
    <w:rsid w:val="000E553E"/>
    <w:rsid w:val="000F68D8"/>
    <w:rsid w:val="000F7B90"/>
    <w:rsid w:val="00101989"/>
    <w:rsid w:val="001947E5"/>
    <w:rsid w:val="001A3A35"/>
    <w:rsid w:val="00217CBB"/>
    <w:rsid w:val="002475EE"/>
    <w:rsid w:val="00265910"/>
    <w:rsid w:val="003140A0"/>
    <w:rsid w:val="003567CE"/>
    <w:rsid w:val="00402F86"/>
    <w:rsid w:val="004220C8"/>
    <w:rsid w:val="004A1127"/>
    <w:rsid w:val="0052365A"/>
    <w:rsid w:val="00532CBA"/>
    <w:rsid w:val="00547B4E"/>
    <w:rsid w:val="00551C83"/>
    <w:rsid w:val="00586CBC"/>
    <w:rsid w:val="005914F5"/>
    <w:rsid w:val="00637CFE"/>
    <w:rsid w:val="00674CC5"/>
    <w:rsid w:val="00694B11"/>
    <w:rsid w:val="00697AAB"/>
    <w:rsid w:val="006F68A7"/>
    <w:rsid w:val="00746401"/>
    <w:rsid w:val="00752D79"/>
    <w:rsid w:val="00754403"/>
    <w:rsid w:val="00780B1D"/>
    <w:rsid w:val="007B3D06"/>
    <w:rsid w:val="007D18A0"/>
    <w:rsid w:val="007E53DE"/>
    <w:rsid w:val="0085285C"/>
    <w:rsid w:val="00894F91"/>
    <w:rsid w:val="008D413F"/>
    <w:rsid w:val="009728D9"/>
    <w:rsid w:val="009C4653"/>
    <w:rsid w:val="00A20793"/>
    <w:rsid w:val="00A362BB"/>
    <w:rsid w:val="00AD46FB"/>
    <w:rsid w:val="00AD6CA7"/>
    <w:rsid w:val="00AF62DA"/>
    <w:rsid w:val="00B36D05"/>
    <w:rsid w:val="00B82406"/>
    <w:rsid w:val="00BA13B6"/>
    <w:rsid w:val="00BB0811"/>
    <w:rsid w:val="00C955CD"/>
    <w:rsid w:val="00CE0B73"/>
    <w:rsid w:val="00CE7532"/>
    <w:rsid w:val="00D66F27"/>
    <w:rsid w:val="00D7096C"/>
    <w:rsid w:val="00D84548"/>
    <w:rsid w:val="00DE3702"/>
    <w:rsid w:val="00E06D1F"/>
    <w:rsid w:val="00E36CF8"/>
    <w:rsid w:val="00E83936"/>
    <w:rsid w:val="00E86CB4"/>
    <w:rsid w:val="00EF2CC8"/>
    <w:rsid w:val="00F95349"/>
    <w:rsid w:val="00F96D19"/>
    <w:rsid w:val="00FA0C36"/>
    <w:rsid w:val="00FA19B4"/>
    <w:rsid w:val="00FA4A48"/>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1E94A0-047E-4343-A628-EB0105556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889</Words>
  <Characters>5072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v.charniak</cp:lastModifiedBy>
  <cp:revision>4</cp:revision>
  <dcterms:created xsi:type="dcterms:W3CDTF">2017-04-05T10:03:00Z</dcterms:created>
  <dcterms:modified xsi:type="dcterms:W3CDTF">2017-04-13T19:09:00Z</dcterms:modified>
</cp:coreProperties>
</file>